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2022.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36E09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Шабац, 2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8.04.2022.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Pr="00B26C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>2.202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020-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00-234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/20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1-14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''Службеном листу Града Шапца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број 34/21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''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Ребаланс програма пословања усвојен је на седници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Скупштине града Шапца  </w:t>
      </w:r>
      <w:r>
        <w:rPr>
          <w:rFonts w:ascii="Times New Roman" w:hAnsi="Times New Roman" w:cs="Times New Roman"/>
          <w:sz w:val="24"/>
          <w:szCs w:val="24"/>
          <w:lang w:val="sr-Cyrl-RS"/>
        </w:rPr>
        <w:t>02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03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>.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482600" w:rsidRPr="00482600">
        <w:rPr>
          <w:rFonts w:ascii="Times New Roman" w:hAnsi="Times New Roman" w:cs="Times New Roman"/>
          <w:b/>
          <w:sz w:val="24"/>
          <w:szCs w:val="24"/>
          <w:lang w:val="sr-Cyrl-RS"/>
        </w:rPr>
        <w:t>020-00-27/2022-14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сагласност је објављена у </w:t>
      </w:r>
      <w:r w:rsidR="00482600" w:rsidRPr="00B26C2B">
        <w:rPr>
          <w:rFonts w:ascii="Times New Roman" w:hAnsi="Times New Roman" w:cs="Times New Roman"/>
          <w:sz w:val="24"/>
          <w:szCs w:val="24"/>
          <w:lang w:val="sr-Cyrl-RS"/>
        </w:rPr>
        <w:t>''Службеном листу Града Шапца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 xml:space="preserve"> број 04/22</w:t>
      </w:r>
      <w:r w:rsidR="00482600" w:rsidRPr="00B26C2B">
        <w:rPr>
          <w:rFonts w:ascii="Times New Roman" w:hAnsi="Times New Roman" w:cs="Times New Roman"/>
          <w:sz w:val="24"/>
          <w:szCs w:val="24"/>
          <w:lang w:val="sr-Cyrl-RS"/>
        </w:rPr>
        <w:t>''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првом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У првом кварталу 2022. године није било значајнијих потешкоћа у пословању предузећа тако да су пружене услуге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занемарљиво мањем обиму од 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незнатно мањи од планираних 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, а  пословни расходи су за 17% мањи од планираних. Као резултат наведеног пословања остварен је позитиван финансијски резултат и  предузеће је наставило са успешним пословањем и у 2022.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1001 Пословни приходи износе 25.019.000 динара и за 2% су мањи од планираних 25.506.000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продаје производа и услуга износе 25.019.000 динара и за 2% су мањи од планираних 25.503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A4554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1013 Пословни расходи износе 15.522.000 динара и за 17% су мањи од планираних 18.731.000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>
        <w:rPr>
          <w:rFonts w:ascii="Times New Roman" w:hAnsi="Times New Roman" w:cs="Times New Roman"/>
          <w:sz w:val="24"/>
          <w:szCs w:val="24"/>
          <w:lang w:val="sr-Cyrl-RS"/>
        </w:rPr>
        <w:t>734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972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 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94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 и за 1</w:t>
      </w:r>
      <w:r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="007818CD">
        <w:rPr>
          <w:rFonts w:ascii="Times New Roman" w:hAnsi="Times New Roman" w:cs="Times New Roman"/>
          <w:sz w:val="24"/>
          <w:szCs w:val="24"/>
        </w:rPr>
        <w:t>6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и на ниво су планираних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944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795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Нематеријални трошкови износе 1.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144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 и за 6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818CD">
        <w:rPr>
          <w:rFonts w:ascii="Times New Roman" w:hAnsi="Times New Roman" w:cs="Times New Roman"/>
          <w:sz w:val="24"/>
          <w:szCs w:val="24"/>
          <w:lang w:val="sr-Cyrl-CS"/>
        </w:rPr>
        <w:t>су већ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и од планираних 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Пословни расходи су мањи од планираних из разлога што предузеће у свом пословању тежи да се што рационалније понаша и да се трошкови сведу на минимум. Зараде су остварене у мањем износу и</w:t>
      </w:r>
      <w:r w:rsidR="00CA14B6">
        <w:rPr>
          <w:rFonts w:ascii="Times New Roman" w:hAnsi="Times New Roman" w:cs="Times New Roman"/>
          <w:sz w:val="24"/>
          <w:szCs w:val="24"/>
          <w:lang w:val="sr-Cyrl-CS"/>
        </w:rPr>
        <w:t>з разлога што су планиране за 36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радника а исплаћене су за 35. Од осталих трошкова битно је поменути да су нематеријални трошкови </w:t>
      </w:r>
      <w:r w:rsidR="00DD68EB">
        <w:rPr>
          <w:rFonts w:ascii="Times New Roman" w:hAnsi="Times New Roman" w:cs="Times New Roman"/>
          <w:sz w:val="24"/>
          <w:szCs w:val="24"/>
          <w:lang w:val="sr-Cyrl-CS"/>
        </w:rPr>
        <w:t>већи од плана из разлога што су у овом периоду прокњижени трошкови за стручну литературу који не би требало да се менјају до краја године, а такође су и трошкови осигурања пребачени са активних временских разграничења. Према томе наведени трошкови су у првом кварталу већи од плана али би до краја године требали да буду у оквиру планираних средстава.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1025 Пословни добитак износи 9.497.000 динара и за 40% је већи од планираних 6.775.000 динара.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1027 Финансијски приходи  износе 99.000 динара и за 27% су већи од планираних 78.000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1032 Финансијски расходи износе 13.000 динара и за 160% су већии од планираних 5.000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1043 Укупни приходи износе 25.118.000 динара и за 2% су мањи од планираних 25.590.000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износе 15.535.000 динара и за 17% су мањи од планираних 18.752.000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1049 Добитак пре опорезивања  износи 9.583.000 динара и за 40% је већи од планираних 6.838.000 динара.</w:t>
      </w:r>
    </w:p>
    <w:p w:rsidR="00DA4554" w:rsidRDefault="00F30AEA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8.146.000 динара и за 40% је већи од планираних 5.813.000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С обзиром да су укупни приходи за само 2 % мањи од планираних , а укупни расходи за 17% нето добитак је за 40% већи од планираног.</w:t>
      </w:r>
    </w:p>
    <w:p w:rsidR="00F30AEA" w:rsidRPr="00F30AEA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0002 Стална имовина износи 1.053.000 динара и за 7% је мања од планираних 1.134.000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1.053.000 динара и за 7%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1.134.000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Одложена пореска средства износе 884.000 динара и за 51% су већа од планираних 584.000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0030 Обртна имовина износи 70.722.000 динара и за 71% је већа од планираних 41.362.000 динара. Обртну имовину чине: Потраживања од купца износе 3.057.000 динара и за 17% су мања од планираних 3.665.000 динара. Остала потраживања износе 20.043.000 динара и за 29% су већа од планираних 15.589.000 динара. Готовина и готовински елементи износе 47.622.000 динара и за 115% су већи од планираних </w:t>
      </w:r>
      <w:r w:rsidR="007D5F42">
        <w:rPr>
          <w:rFonts w:ascii="Times New Roman" w:hAnsi="Times New Roman" w:cs="Times New Roman"/>
          <w:sz w:val="24"/>
          <w:szCs w:val="24"/>
          <w:lang w:val="sr-Cyrl-RS"/>
        </w:rPr>
        <w:t>22.108.000 динара. Остварен износ обртне имовине је већи од планираног из разлога што у првом кварталу није дошло до реализације планиране инвестиционе активности, која би проузроковала значајан одлив средстава са текућег рачуна и самим тим смањење вредности обртне имовине.</w:t>
      </w:r>
    </w:p>
    <w:p w:rsidR="007D5F42" w:rsidRDefault="007D5F42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72.659.000 динара и за 69% је већа од планираних 43.080.000 динара. Описани ефекат </w:t>
      </w:r>
      <w:r w:rsidR="00F26FEF">
        <w:rPr>
          <w:rFonts w:ascii="Times New Roman" w:hAnsi="Times New Roman" w:cs="Times New Roman"/>
          <w:sz w:val="24"/>
          <w:szCs w:val="24"/>
          <w:lang w:val="sr-Cyrl-RS"/>
        </w:rPr>
        <w:t>нереализоване инвестиције се у датом проценту одразио на укупну активу.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59.143.000 динара и за 102% је већи од планираних 29.348.000 динара. Капитал чине: Основни капитал износи 6.000.000 динара и на ниво је планираног. Нераспоређени добитак ранијих година износи 44.297.000 динара и за 157% је већи од планираних 17.537.000 динара. Нераспоређени добитак текуће године износи 8.146.000 динара и за 40% је већи од планираних 5.811.000 динара.</w:t>
      </w:r>
      <w:r w:rsidR="00600193">
        <w:rPr>
          <w:rFonts w:ascii="Times New Roman" w:hAnsi="Times New Roman" w:cs="Times New Roman"/>
          <w:sz w:val="24"/>
          <w:szCs w:val="24"/>
          <w:lang w:val="sr-Cyrl-RS"/>
        </w:rPr>
        <w:t xml:space="preserve"> Остварен износ капитал је већи од планираног превасаходно из разлога што је у претхедном период нето добитак био значајније већи од планираног.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Дугорочна резервисања износе 8.238.000 динара и за 7% су већа од планираних 7.678.000 динара.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 Обавезе из пословања износе 778.000 динара и за 25% су веће од планираних 621.000 динара. Обавезе из пословања чине обавезе према добављачима.</w:t>
      </w:r>
    </w:p>
    <w:p w:rsidR="00480169" w:rsidRDefault="00600193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0449 Остале краткорочне обавезе износе 4.500.000 динара и за 17% су мање од планираних 5.433.000 динара. Остале краткорочне обавезе чине обавезе за ПДВ и </w:t>
      </w:r>
      <w:r w:rsidR="006633F1">
        <w:rPr>
          <w:rFonts w:ascii="Times New Roman" w:hAnsi="Times New Roman" w:cs="Times New Roman"/>
          <w:sz w:val="24"/>
          <w:szCs w:val="24"/>
          <w:lang w:val="sr-Cyrl-RS"/>
        </w:rPr>
        <w:t>порез не добит</w:t>
      </w:r>
    </w:p>
    <w:p w:rsidR="008E481C" w:rsidRPr="007F6F7D" w:rsidRDefault="006633F1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АОП 0456 Укупна пасива износи 72.659.000 динара и за 69% је већа од планираних 43.080.000 динара. Описани ефекат код капитала се у датом проценту одразио на укупну пасиву.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из пословних активности износи 29.976.000 динара и за 3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7% су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већи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21.919.000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примљени аванси у земљи износе 29.877.000 динара и за 37% су већи од планираних 21.838.000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из пословних активности износе 99.000 динара и за 32% су веће од планираних 75.000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пословних активности износи 19.406.000 динара и за 47% је мањи од планираних 36.391.000 динара. Одлив готовине из пословних активности чине: Исплате добављачима и дати аванси у земљи износе 3.748.000 динара и за 78% су мање од планираних 17.139.000 динара. Зараде накнаде зарада и остали лични расходи износе 11.294.000 динара и за 19% су мање од планираних 13.868.000 динара. Одлив по основу осталих јавних прихода износи 4.358.000 динара и за 167% је већи од планираних 1.630.000 динара. Остали одливи из пословних активности износе 6.000 и за 20% су већи од планираних 5.000.</w:t>
      </w:r>
      <w:r w:rsidR="002D7033">
        <w:rPr>
          <w:rFonts w:ascii="Times New Roman" w:hAnsi="Times New Roman" w:cs="Times New Roman"/>
          <w:sz w:val="24"/>
          <w:szCs w:val="24"/>
          <w:lang w:val="sr-Cyrl-RS"/>
        </w:rPr>
        <w:t xml:space="preserve"> Одлив готовине из пословних активности је мањи од планираног из разлога што у овом периоду није дошло до реализације планиране инвестиционе активности која би проузроковала значајан одлив средстава</w:t>
      </w:r>
      <w:r w:rsidR="00BB2FC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3048 Свега прилив готовине износи 29.976.000 динара и за 37% је већи од планираних 21.919.000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3049 Свега одлив готовине износи 19.406.000 динара и за 47% је мањи од планираних 36.391.000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3055 Готовина на крају обрачунског периода износи 47.622.000 динара и за 115% је већа од планираних 22.108.000 динара. Описани ефекат код одлива готовине из пословних активности се у највећој мери у  датом проценту одразио на готовину на крају обрачунског периода.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B2FC3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Маса бруто зарада износи 9.165.027 динара и за 15% је мања од планираних 10.772.838 динара. Планирана је маса за 36 радника а остварена је за 35 радника.</w:t>
      </w:r>
    </w:p>
    <w:p w:rsidR="00CA14B6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члановима надзорног одбора износе 140.625 динара и за 1% су мање од планираних 141.510 динара.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запослених на посао и са посла износи 303.451 динара и за 19% је мањи од планираних 375.000 динара.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Отпремнине за одлазак у пензију износе 371.701 динара и за 6% су веће од планираних 350.000 динара. Исплаћена је отпремнина за једног радника и то у износу 3 просечне зараде </w:t>
      </w:r>
      <w:r w:rsidR="002F7654">
        <w:rPr>
          <w:rFonts w:ascii="Times New Roman" w:hAnsi="Times New Roman" w:cs="Times New Roman"/>
          <w:sz w:val="24"/>
          <w:szCs w:val="24"/>
          <w:lang w:val="sr-Cyrl-RS"/>
        </w:rPr>
        <w:t>које је радик остварио у претходном периоду.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Помоћ радницима и породици износи 30.000 динара и за 98% је мањи од планираних 1.757.500 динара. У овом периоду није исплаћена планирана 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накнаде трошкова запослених  износе 60.000 динара и за 40% су мање од планираних 100.000 динара.</w:t>
      </w:r>
    </w:p>
    <w:p w:rsidR="008E481C" w:rsidRPr="006F7479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усавршавање запослених износе 314.433 динара и за 192% су већи од планираних 107.500 динара.</w:t>
      </w:r>
      <w:r w:rsidR="006F7479">
        <w:rPr>
          <w:rFonts w:ascii="Times New Roman" w:hAnsi="Times New Roman" w:cs="Times New Roman"/>
          <w:sz w:val="24"/>
          <w:szCs w:val="24"/>
          <w:lang w:val="sr-Cyrl-RS"/>
        </w:rPr>
        <w:t xml:space="preserve"> У овом периоду прокњижен је већи износ за трошкове стручног усавршавања , али у будућем периоду ови трошкови не би требало да се значајније мењају.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имали смо одлазак једног радника у пензију и то стручног сарадника за правне послове. На његово место примили смо другог радника  на основу добијене сагласности од стране Владине комисије за ново запошљавање и додатно радно ангажовање код корисника јавних средстава.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 су око 12% манје од планираних, а просечна зарда за пословодство је око 3% мања од планиране.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302DD" w:rsidRDefault="006302D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субвенције ни остале приходе из буџета.</w:t>
      </w:r>
    </w:p>
    <w:p w:rsidR="009B3F51" w:rsidRPr="009B3F51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9B3F51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Спонзорство износи 19.500 динара и за 29% је мање од планираних 27.500 динара</w:t>
      </w:r>
    </w:p>
    <w:p w:rsidR="009B3F51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1.800 динара и за 97% су манје од планираних 62.500 динара</w:t>
      </w:r>
    </w:p>
    <w:p w:rsidR="00402087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145.044 и за 49% је већа од планираних 97.500 динара. У овом периоду је прокњижен већи износ репрезентације који се после неће појављивати тако да ће на нивоу године репрезентација бити у планираним оквирима.</w:t>
      </w:r>
    </w:p>
    <w:p w:rsidR="003A2E7D" w:rsidRPr="00402087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Реклама и пропаганда износе 24.000 динара и за 58% су мање од планираних 57.500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02087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402087" w:rsidRPr="000B6C54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402087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3A2E7D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6302DD" w:rsidRDefault="006302D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7633" w:rsidRDefault="00B4763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Није било инвестиционих активности у овом периоду.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стањем 31.03.2022. године измирене су до 15.04.2022. године.</w:t>
      </w:r>
    </w:p>
    <w:p w:rsidR="00B47633" w:rsidRPr="000B6C54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Default="0013768B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3A2E7D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6302DD" w:rsidRPr="006302DD" w:rsidRDefault="006302D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првом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>
        <w:rPr>
          <w:rFonts w:ascii="Times New Roman" w:hAnsi="Times New Roman" w:cs="Times New Roman"/>
          <w:sz w:val="24"/>
          <w:szCs w:val="24"/>
          <w:lang w:val="sr-Cyrl-RS"/>
        </w:rPr>
        <w:t>незнатно мањи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за 17%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у </w:t>
      </w:r>
      <w:r>
        <w:rPr>
          <w:rFonts w:ascii="Calibri" w:hAnsi="Calibri" w:cs="Times New Roman CYR"/>
          <w:lang w:val="sr-Cyrl-RS"/>
        </w:rPr>
        <w:t xml:space="preserve"> 2022. години.</w:t>
      </w:r>
    </w:p>
    <w:p w:rsidR="003A2E7D" w:rsidRPr="000312A6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D36E09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</w:t>
      </w:r>
      <w:r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.04.2022.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CC" w:rsidRDefault="000D6CCC" w:rsidP="00F4195D">
      <w:pPr>
        <w:spacing w:after="0" w:line="240" w:lineRule="auto"/>
      </w:pPr>
      <w:r>
        <w:separator/>
      </w:r>
    </w:p>
  </w:endnote>
  <w:endnote w:type="continuationSeparator" w:id="0">
    <w:p w:rsidR="000D6CCC" w:rsidRDefault="000D6CCC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 CYR">
    <w:altName w:val="Times New Roman"/>
    <w:charset w:val="EE"/>
    <w:family w:val="roman"/>
    <w:pitch w:val="variable"/>
    <w:sig w:usb0="00000000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6E0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CC" w:rsidRDefault="000D6CCC" w:rsidP="00F4195D">
      <w:pPr>
        <w:spacing w:after="0" w:line="240" w:lineRule="auto"/>
      </w:pPr>
      <w:r>
        <w:separator/>
      </w:r>
    </w:p>
  </w:footnote>
  <w:footnote w:type="continuationSeparator" w:id="0">
    <w:p w:rsidR="000D6CCC" w:rsidRDefault="000D6CCC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8696D"/>
    <w:rsid w:val="000B6C54"/>
    <w:rsid w:val="000D6CCC"/>
    <w:rsid w:val="0013768B"/>
    <w:rsid w:val="00180B47"/>
    <w:rsid w:val="001A63B0"/>
    <w:rsid w:val="001B749E"/>
    <w:rsid w:val="001D3787"/>
    <w:rsid w:val="002D7033"/>
    <w:rsid w:val="002F7654"/>
    <w:rsid w:val="00360D33"/>
    <w:rsid w:val="003A2E7D"/>
    <w:rsid w:val="003D050F"/>
    <w:rsid w:val="00400EE2"/>
    <w:rsid w:val="00402087"/>
    <w:rsid w:val="00480169"/>
    <w:rsid w:val="00482600"/>
    <w:rsid w:val="00520215"/>
    <w:rsid w:val="00540181"/>
    <w:rsid w:val="00550C46"/>
    <w:rsid w:val="00580444"/>
    <w:rsid w:val="005F1AF2"/>
    <w:rsid w:val="00600193"/>
    <w:rsid w:val="0060798C"/>
    <w:rsid w:val="00626BF3"/>
    <w:rsid w:val="006302DD"/>
    <w:rsid w:val="006633F1"/>
    <w:rsid w:val="006C44A1"/>
    <w:rsid w:val="006D3A01"/>
    <w:rsid w:val="006E7C62"/>
    <w:rsid w:val="006F7479"/>
    <w:rsid w:val="007751C5"/>
    <w:rsid w:val="007818CD"/>
    <w:rsid w:val="007C2072"/>
    <w:rsid w:val="007D5F42"/>
    <w:rsid w:val="007F6F7D"/>
    <w:rsid w:val="008672D1"/>
    <w:rsid w:val="008D4EFF"/>
    <w:rsid w:val="008E481C"/>
    <w:rsid w:val="00975557"/>
    <w:rsid w:val="009B3F51"/>
    <w:rsid w:val="009F03F9"/>
    <w:rsid w:val="00AB1E80"/>
    <w:rsid w:val="00B26C2B"/>
    <w:rsid w:val="00B47633"/>
    <w:rsid w:val="00B829C0"/>
    <w:rsid w:val="00BB2FC3"/>
    <w:rsid w:val="00BF085C"/>
    <w:rsid w:val="00C278BC"/>
    <w:rsid w:val="00CA14B6"/>
    <w:rsid w:val="00D36E09"/>
    <w:rsid w:val="00D53740"/>
    <w:rsid w:val="00DA4554"/>
    <w:rsid w:val="00DA5C39"/>
    <w:rsid w:val="00DD68EB"/>
    <w:rsid w:val="00DD6907"/>
    <w:rsid w:val="00E622EB"/>
    <w:rsid w:val="00E65055"/>
    <w:rsid w:val="00EE12FA"/>
    <w:rsid w:val="00F11704"/>
    <w:rsid w:val="00F1792B"/>
    <w:rsid w:val="00F26FEF"/>
    <w:rsid w:val="00F30AEA"/>
    <w:rsid w:val="00F4195D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Novak Susic</cp:lastModifiedBy>
  <cp:revision>21</cp:revision>
  <cp:lastPrinted>2022-04-29T06:00:00Z</cp:lastPrinted>
  <dcterms:created xsi:type="dcterms:W3CDTF">2016-03-02T12:43:00Z</dcterms:created>
  <dcterms:modified xsi:type="dcterms:W3CDTF">2022-04-29T06:03:00Z</dcterms:modified>
</cp:coreProperties>
</file>